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6D272C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2C76">
              <w:rPr>
                <w:rFonts w:asciiTheme="majorHAnsi" w:hAnsiTheme="majorHAnsi"/>
                <w:b/>
                <w:sz w:val="18"/>
                <w:szCs w:val="18"/>
              </w:rPr>
              <w:t>Mikroemulzije u primijenjenoj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9C4A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88571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85719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6D272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31532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31532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 w:rsidP="0012229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12229C">
              <w:rPr>
                <w:rFonts w:asciiTheme="majorHAnsi" w:hAnsiTheme="majorHAnsi"/>
                <w:b/>
                <w:sz w:val="18"/>
                <w:szCs w:val="18"/>
              </w:rPr>
              <w:t>4,5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 w:rsidP="0012229C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12229C">
              <w:rPr>
                <w:rFonts w:asciiTheme="majorHAnsi" w:hAnsiTheme="majorHAnsi"/>
                <w:b/>
                <w:sz w:val="18"/>
                <w:szCs w:val="18"/>
              </w:rPr>
              <w:t>8,25</w:t>
            </w:r>
            <w:bookmarkStart w:id="3" w:name="_GoBack"/>
            <w:bookmarkEnd w:id="3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1100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Hemija/usmjerenja:</w:t>
            </w:r>
            <w:r w:rsidR="004F2C76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Primijenjena hemija</w:t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6D272C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 xml:space="preserve">prof.dr. </w:t>
            </w:r>
            <w:r w:rsidR="004F2C76">
              <w:rPr>
                <w:rFonts w:asciiTheme="majorHAnsi" w:hAnsiTheme="majorHAnsi" w:cs="Arial"/>
                <w:b/>
                <w:sz w:val="18"/>
                <w:szCs w:val="18"/>
              </w:rPr>
              <w:t>Husejin Keran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2C76" w:rsidRPr="004F2C76">
              <w:rPr>
                <w:rFonts w:asciiTheme="majorHAnsi" w:hAnsiTheme="majorHAnsi"/>
                <w:b/>
                <w:sz w:val="18"/>
                <w:szCs w:val="18"/>
              </w:rPr>
              <w:t xml:space="preserve">Istaknuti studentima važnost i širinu područja primjene mikroemulzija u raznim industrijskim granama kao što su prehrambena, farmaceutska, kozmetička, tekstilna, kao i u biomedicini, biotehnologiji i sintezi nanočestica. Sticanje </w:t>
            </w:r>
            <w:r w:rsidR="004F2C76" w:rsidRPr="004F2C76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 xml:space="preserve">temeljnih znanja o fizikalno-hemijskim svojstvima klasičnih mikroemulzija i novih mikroemulzijskih sistema bez prisustva surfaktanta temeljenih na zelenoj hemiji.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F2C76" w:rsidRPr="004F2C76" w:rsidRDefault="006D272C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2C76" w:rsidRPr="004F2C76">
              <w:rPr>
                <w:rFonts w:asciiTheme="majorHAnsi" w:hAnsiTheme="majorHAnsi" w:cs="Arial"/>
                <w:b/>
                <w:sz w:val="18"/>
                <w:szCs w:val="18"/>
              </w:rPr>
              <w:t>Studenti će nakon uspješno savladanog predmeta moći: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opisati strukturnu građu mikroemulzija i mikroemulzijskih sistema uz prisustvo surfaktanta; definirati razlike u odnosu na emulzije 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 xml:space="preserve">- objasniti ulogu surfaktanta i važnost termodinamičkih parametara u postizanju stabilnog mikroemulzijskog sistema 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 xml:space="preserve">- drediti veličinu i oblik mikroemulzijskih agregata te objasniti dinamiku njihovog rasta 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- opisati osnovne principe i mogućnosti primjene različitih metoda (spektroskopija, konduktometrija, viskozimetrija, mjerenje napetosti površine, TEM, SANS) u istraživanju mikroemulzijskih sistema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- prepoznati principe na temelju kojih zelena hemija smanjuje negativne uticaje hemijskih procesa i tehnologije na okoliš</w:t>
            </w:r>
          </w:p>
          <w:p w:rsidR="006D272C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- primijeniti odgovarajuće programe za numeričku obradu eksperimentalnih podataka i grafičko prikazivanje dobivenih rezultata; raspraviti dobivene rezultate i donijeti zaključak na kraju rada.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2C76" w:rsidRPr="004F2C76">
              <w:rPr>
                <w:rFonts w:asciiTheme="majorHAnsi" w:hAnsiTheme="majorHAnsi" w:cs="Arial"/>
                <w:b/>
                <w:sz w:val="18"/>
                <w:szCs w:val="18"/>
              </w:rPr>
              <w:t>vod u mikroemulzije. Svojstva i struktura mikroemulzija. Razlike između mikroemulzija i emulzija. Uslovi ravnoteže i fazni dijagrami. Surfaktanti i kosurfaktanti i njihove karakteristike. Reologija mikroemulzijskih i emulzijskih ssistema. Metode i eksperimentalne tehnike istraživanja mikroemulzijskih sustava. Napetost površine i kritična micelizacijska koncentracija (c.m.c.). Mikrostruktura mikroemulzijskih agregata. Mikroemulzije bez prisustva surfaktanta. Primjena mikroemulzija. Primjeri.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7906" w:rsidRPr="00657906" w:rsidRDefault="006D272C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4628E4" w:rsidRPr="004628E4" w:rsidRDefault="00657906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1100FE" w:rsidRPr="001100FE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4628E4" w:rsidRPr="004628E4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 xml:space="preserve"> - Stručne studijske posjete</w:t>
            </w:r>
          </w:p>
          <w:p w:rsidR="006D272C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 xml:space="preserve"> - konzultacije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F2C76" w:rsidRPr="004F2C76" w:rsidRDefault="006D272C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2C76" w:rsidRPr="004F2C76">
              <w:rPr>
                <w:rFonts w:asciiTheme="majorHAnsi" w:hAnsiTheme="majorHAnsi" w:cs="Arial"/>
                <w:b/>
                <w:sz w:val="18"/>
                <w:szCs w:val="18"/>
              </w:rPr>
              <w:t>Student/ica obavezno u toku trajanja predavanja pristupa polaganju jednog parcijalniog ispita iz teoretskog dijela i jednog  seminarskog rada.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Studentima koji su položili test I i odbranili seminarski  iz teoretskog dijela  sa maksimalnim brojem bodova, predmetni nastavnik upisuje ocjenu u indeks nakon završetka svih obaveza na predmetu (potpis predmetnog nastavnika u indeksu).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Završnom ispitu pristupaju svi studenti koji nisu zadovoljni predispitnim obavezama ili koji nisu zadovoljni</w:t>
            </w:r>
          </w:p>
          <w:p w:rsidR="006D272C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ocjenom, a imaju urađene sve obaveze na predmetu ( imaju potpis predmetnog nastavnika u indeksu).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F2C76" w:rsidRPr="004F2C76" w:rsidRDefault="006D272C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2C76" w:rsidRPr="004F2C76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polaganjem ispita, a prema kvalitetu stečenih znanja i vještina, i sadrži maksimalno 100 bodova, te se utvrđuje prema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slijedećoj skali: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Obaveze studenta : Bodovi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Prisutnost i aktivnost na predavanjima : 5 bodova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Test iz teoretskog dijela : 30 bodova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Seminarski rad: 15</w:t>
            </w:r>
          </w:p>
          <w:p w:rsidR="001100FE" w:rsidRDefault="004F2C76" w:rsidP="004F2C7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 w:cs="Arial"/>
                <w:b/>
                <w:sz w:val="18"/>
                <w:szCs w:val="18"/>
              </w:rPr>
              <w:t>Završni ispit : 50</w:t>
            </w:r>
            <w:r w:rsidR="001100FE">
              <w:rPr>
                <w:rFonts w:asciiTheme="majorHAnsi" w:hAnsiTheme="majorHAnsi"/>
                <w:b/>
                <w:sz w:val="18"/>
                <w:szCs w:val="18"/>
              </w:rPr>
              <w:t>_______________________________________</w:t>
            </w:r>
          </w:p>
          <w:p w:rsidR="006D272C" w:rsidRDefault="004F3094" w:rsidP="001100F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F2C76" w:rsidRPr="004F2C76" w:rsidRDefault="006D272C" w:rsidP="004F2C7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32D6E" w:rsidRPr="00B32D6E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4F2C76" w:rsidRPr="004F2C76">
              <w:rPr>
                <w:rFonts w:asciiTheme="majorHAnsi" w:hAnsiTheme="majorHAnsi"/>
                <w:b/>
                <w:sz w:val="18"/>
                <w:szCs w:val="18"/>
              </w:rPr>
              <w:t>Daniel Schuster, Encyclopedia of Emulsion Technology ,Volume 4, 1996.</w:t>
            </w:r>
          </w:p>
          <w:p w:rsidR="004F2C76" w:rsidRPr="004F2C76" w:rsidRDefault="004F2C76" w:rsidP="004F2C7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/>
                <w:b/>
                <w:sz w:val="18"/>
                <w:szCs w:val="18"/>
              </w:rPr>
              <w:t>- Fernando Leal-Calderon, Jérôme Bibette,Véronique Schmitt, Emulsion Science- Basic Principles, Springer Link,2007.</w:t>
            </w:r>
          </w:p>
          <w:p w:rsidR="006D272C" w:rsidRDefault="004F2C76" w:rsidP="004F2C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2C76">
              <w:rPr>
                <w:rFonts w:asciiTheme="majorHAnsi" w:hAnsiTheme="majorHAnsi"/>
                <w:b/>
                <w:sz w:val="18"/>
                <w:szCs w:val="18"/>
              </w:rPr>
              <w:t>- Tharwat F. Tadros . Emulsions: Formation, Stability, Industrial Applications , De Gruyter; 1st edition,March 21, 2016.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 w:rsidP="00B32D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65790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6D272C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3434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E3434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E3434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88571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8571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8571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8571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8571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8571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327" w:rsidRDefault="00315327">
      <w:pPr>
        <w:spacing w:line="240" w:lineRule="auto"/>
      </w:pPr>
      <w:r>
        <w:separator/>
      </w:r>
    </w:p>
  </w:endnote>
  <w:endnote w:type="continuationSeparator" w:id="0">
    <w:p w:rsidR="00315327" w:rsidRDefault="003153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85719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272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2229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272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2229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327" w:rsidRDefault="00315327">
      <w:pPr>
        <w:spacing w:after="0"/>
      </w:pPr>
      <w:r>
        <w:separator/>
      </w:r>
    </w:p>
  </w:footnote>
  <w:footnote w:type="continuationSeparator" w:id="0">
    <w:p w:rsidR="00315327" w:rsidRDefault="003153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158E9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0FE"/>
    <w:rsid w:val="00110FA2"/>
    <w:rsid w:val="0012229C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0E0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15327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28E4"/>
    <w:rsid w:val="004634D5"/>
    <w:rsid w:val="0046792D"/>
    <w:rsid w:val="00471019"/>
    <w:rsid w:val="00485003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2C76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46AB"/>
    <w:rsid w:val="0088121D"/>
    <w:rsid w:val="0088323A"/>
    <w:rsid w:val="008849C4"/>
    <w:rsid w:val="00885719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5F3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2D6E"/>
    <w:rsid w:val="00B37D1D"/>
    <w:rsid w:val="00B541C6"/>
    <w:rsid w:val="00B635E1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322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A6DBC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337"/>
    <w:rsid w:val="00E00FA9"/>
    <w:rsid w:val="00E0111A"/>
    <w:rsid w:val="00E059AF"/>
    <w:rsid w:val="00E06E08"/>
    <w:rsid w:val="00E129E8"/>
    <w:rsid w:val="00E1535D"/>
    <w:rsid w:val="00E17B89"/>
    <w:rsid w:val="00E22091"/>
    <w:rsid w:val="00E3434A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25BAF"/>
    <w:rsid w:val="00F30C75"/>
    <w:rsid w:val="00F5229F"/>
    <w:rsid w:val="00F57B5B"/>
    <w:rsid w:val="00F60F56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5CF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E8F5A-493D-4294-BFD0-2340CBBA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BFAC9-7F8D-4564-BFF6-613B2439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2025-11-21T10:17:00Z</dcterms:created>
  <dcterms:modified xsi:type="dcterms:W3CDTF">2025-11-21T10:21:00Z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